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98" w:rsidRDefault="00642EA1">
      <w:r>
        <w:t>Case Report</w:t>
      </w:r>
      <w:r w:rsidR="00F47098">
        <w:t xml:space="preserve"> </w:t>
      </w:r>
      <w:r w:rsidR="00A16546">
        <w:t xml:space="preserve">Abstract </w:t>
      </w:r>
      <w:r w:rsidR="00F47098">
        <w:t>Template C&amp;R Day 2020</w:t>
      </w:r>
    </w:p>
    <w:tbl>
      <w:tblPr>
        <w:tblStyle w:val="TableGrid"/>
        <w:tblW w:w="0" w:type="auto"/>
        <w:tblLook w:val="04A0" w:firstRow="1" w:lastRow="0" w:firstColumn="1" w:lastColumn="0" w:noHBand="0" w:noVBand="1"/>
      </w:tblPr>
      <w:tblGrid>
        <w:gridCol w:w="2875"/>
        <w:gridCol w:w="6475"/>
      </w:tblGrid>
      <w:tr w:rsidR="00F47098" w:rsidTr="00F47098">
        <w:tc>
          <w:tcPr>
            <w:tcW w:w="2875" w:type="dxa"/>
          </w:tcPr>
          <w:p w:rsidR="00F47098" w:rsidRDefault="00F47098">
            <w:r>
              <w:t>TITLE</w:t>
            </w:r>
          </w:p>
          <w:p w:rsidR="00F47098" w:rsidRDefault="00F47098"/>
          <w:p w:rsidR="00F47098" w:rsidRDefault="00F47098">
            <w:r>
              <w:t>ALL CAPS; 10 words or less</w:t>
            </w:r>
          </w:p>
        </w:tc>
        <w:tc>
          <w:tcPr>
            <w:tcW w:w="6475" w:type="dxa"/>
          </w:tcPr>
          <w:p w:rsidR="00F47098" w:rsidRDefault="00F47098"/>
        </w:tc>
      </w:tr>
      <w:tr w:rsidR="00F47098" w:rsidTr="00F47098">
        <w:tc>
          <w:tcPr>
            <w:tcW w:w="2875" w:type="dxa"/>
          </w:tcPr>
          <w:p w:rsidR="00F47098" w:rsidRDefault="00F47098">
            <w:r>
              <w:t>Authors</w:t>
            </w:r>
          </w:p>
          <w:p w:rsidR="00F47098" w:rsidRDefault="0044797C">
            <w:r>
              <w:t xml:space="preserve">LastName </w:t>
            </w:r>
            <w:r w:rsidR="00F47098">
              <w:t>First</w:t>
            </w:r>
            <w:r w:rsidR="000E1E62">
              <w:t>InitialMiddle</w:t>
            </w:r>
            <w:r w:rsidR="00F47098">
              <w:t>Initial (no period) with comma separator between authors:</w:t>
            </w:r>
          </w:p>
          <w:p w:rsidR="00F47098" w:rsidRDefault="00956753" w:rsidP="000E1E62">
            <w:r>
              <w:t xml:space="preserve">With </w:t>
            </w:r>
            <w:r w:rsidR="00F47098">
              <w:t>Presenter First</w:t>
            </w:r>
            <w:r>
              <w:t xml:space="preserve"> and</w:t>
            </w:r>
            <w:r w:rsidR="00F47098">
              <w:t xml:space="preserve"> Mentor Last</w:t>
            </w:r>
            <w:r w:rsidR="000E1E62">
              <w:t xml:space="preserve"> &amp; </w:t>
            </w:r>
            <w:r w:rsidR="00F47098">
              <w:t>Use superscript # after each author if multiple units are represented</w:t>
            </w:r>
          </w:p>
        </w:tc>
        <w:tc>
          <w:tcPr>
            <w:tcW w:w="6475" w:type="dxa"/>
          </w:tcPr>
          <w:p w:rsidR="00F47098" w:rsidRDefault="00F47098"/>
        </w:tc>
      </w:tr>
      <w:tr w:rsidR="00F47098" w:rsidTr="00F47098">
        <w:tc>
          <w:tcPr>
            <w:tcW w:w="2875" w:type="dxa"/>
          </w:tcPr>
          <w:p w:rsidR="00F47098" w:rsidRDefault="00F47098">
            <w:r>
              <w:t>Affiliation(s)</w:t>
            </w:r>
          </w:p>
          <w:p w:rsidR="00F47098" w:rsidRDefault="00F47098">
            <w:r>
              <w:t>List Department and College Affiliations for ALL authors; insert superscript # before each unit if more than one unit is listed</w:t>
            </w:r>
          </w:p>
        </w:tc>
        <w:tc>
          <w:tcPr>
            <w:tcW w:w="6475" w:type="dxa"/>
          </w:tcPr>
          <w:p w:rsidR="00F47098" w:rsidRDefault="00F47098"/>
        </w:tc>
      </w:tr>
      <w:tr w:rsidR="00F47098" w:rsidTr="00F47098">
        <w:tc>
          <w:tcPr>
            <w:tcW w:w="2875" w:type="dxa"/>
          </w:tcPr>
          <w:p w:rsidR="00F47098" w:rsidRDefault="00F47098">
            <w:r>
              <w:t>Abstract:</w:t>
            </w:r>
          </w:p>
          <w:p w:rsidR="00F47098" w:rsidRDefault="00F47098">
            <w:r>
              <w:t>No more than 300 words including section titles</w:t>
            </w:r>
          </w:p>
          <w:p w:rsidR="00F47098" w:rsidRDefault="00F47098" w:rsidP="00F47098">
            <w:r>
              <w:t>Use Headings as listed</w:t>
            </w:r>
          </w:p>
          <w:p w:rsidR="0044797C" w:rsidRDefault="0044797C" w:rsidP="00F47098"/>
          <w:p w:rsidR="0044797C" w:rsidRDefault="0044797C" w:rsidP="00F47098"/>
          <w:p w:rsidR="0044797C" w:rsidRDefault="0044797C" w:rsidP="00F47098"/>
          <w:p w:rsidR="0044797C" w:rsidRDefault="0044797C" w:rsidP="00F47098"/>
          <w:p w:rsidR="0044797C" w:rsidRDefault="0044797C" w:rsidP="00F47098"/>
        </w:tc>
        <w:tc>
          <w:tcPr>
            <w:tcW w:w="6475" w:type="dxa"/>
          </w:tcPr>
          <w:p w:rsidR="00F47098" w:rsidRDefault="00F47098" w:rsidP="0044797C">
            <w:r>
              <w:t>Introduction:      Objective</w:t>
            </w:r>
            <w:r w:rsidR="00105058">
              <w:t>s</w:t>
            </w:r>
            <w:r>
              <w:t xml:space="preserve">:      </w:t>
            </w:r>
            <w:r w:rsidR="00105058">
              <w:t>Findings</w:t>
            </w:r>
            <w:r>
              <w:t xml:space="preserve">: </w:t>
            </w:r>
            <w:r w:rsidR="00105058">
              <w:t xml:space="preserve">     Significance for Practice</w:t>
            </w:r>
            <w:r>
              <w:t xml:space="preserve">:      </w:t>
            </w:r>
          </w:p>
        </w:tc>
      </w:tr>
    </w:tbl>
    <w:p w:rsidR="00C13CAD" w:rsidRDefault="00C13CAD" w:rsidP="0044797C">
      <w:pPr>
        <w:spacing w:after="0"/>
      </w:pPr>
    </w:p>
    <w:p w:rsidR="0044797C" w:rsidRDefault="0044797C" w:rsidP="0044797C">
      <w:pPr>
        <w:spacing w:after="0"/>
      </w:pPr>
      <w:r>
        <w:t>Case Report Example from a 2019 Winner</w:t>
      </w:r>
      <w:r w:rsidR="00C13CAD">
        <w:t xml:space="preserve"> formatted for 2020 as an Abstract</w:t>
      </w:r>
    </w:p>
    <w:p w:rsidR="00C13CAD" w:rsidRDefault="00C13CAD" w:rsidP="0044797C">
      <w:pPr>
        <w:spacing w:after="0"/>
        <w:jc w:val="center"/>
        <w:rPr>
          <w:rFonts w:ascii="Times New Roman" w:hAnsi="Times New Roman" w:cs="Times New Roman"/>
          <w:b/>
          <w:sz w:val="18"/>
          <w:szCs w:val="18"/>
        </w:rPr>
      </w:pPr>
    </w:p>
    <w:p w:rsidR="0044797C" w:rsidRPr="00830F5E" w:rsidRDefault="0044797C" w:rsidP="0044797C">
      <w:pPr>
        <w:spacing w:after="0"/>
        <w:jc w:val="center"/>
        <w:rPr>
          <w:rFonts w:ascii="Times New Roman" w:hAnsi="Times New Roman" w:cs="Times New Roman"/>
          <w:b/>
          <w:sz w:val="18"/>
          <w:szCs w:val="18"/>
        </w:rPr>
      </w:pPr>
      <w:r w:rsidRPr="00830F5E">
        <w:rPr>
          <w:rFonts w:ascii="Times New Roman" w:hAnsi="Times New Roman" w:cs="Times New Roman"/>
          <w:b/>
          <w:sz w:val="18"/>
          <w:szCs w:val="18"/>
        </w:rPr>
        <w:t>BIOACTIVE THERAPEUTIC MATERIALS FOR IMMATURE TEETH: A CASE REPORT</w:t>
      </w:r>
    </w:p>
    <w:p w:rsidR="0044797C" w:rsidRPr="00830F5E" w:rsidRDefault="0044797C" w:rsidP="0044797C">
      <w:pPr>
        <w:spacing w:after="0" w:line="276" w:lineRule="auto"/>
        <w:jc w:val="center"/>
        <w:rPr>
          <w:rFonts w:ascii="Times New Roman" w:hAnsi="Times New Roman" w:cs="Times New Roman"/>
          <w:sz w:val="18"/>
          <w:szCs w:val="18"/>
        </w:rPr>
      </w:pPr>
      <w:r w:rsidRPr="00830F5E">
        <w:rPr>
          <w:rFonts w:ascii="Times New Roman" w:hAnsi="Times New Roman" w:cs="Times New Roman"/>
          <w:sz w:val="18"/>
          <w:szCs w:val="18"/>
        </w:rPr>
        <w:t>Bollow SE</w:t>
      </w:r>
      <w:r w:rsidRPr="00830F5E">
        <w:rPr>
          <w:rFonts w:ascii="Times New Roman" w:hAnsi="Times New Roman" w:cs="Times New Roman"/>
          <w:sz w:val="18"/>
          <w:szCs w:val="18"/>
          <w:vertAlign w:val="superscript"/>
        </w:rPr>
        <w:t>1</w:t>
      </w:r>
      <w:r w:rsidRPr="00830F5E">
        <w:rPr>
          <w:rFonts w:ascii="Times New Roman" w:hAnsi="Times New Roman" w:cs="Times New Roman"/>
          <w:sz w:val="18"/>
          <w:szCs w:val="18"/>
        </w:rPr>
        <w:t>, Golubovich MM</w:t>
      </w:r>
      <w:r w:rsidRPr="00830F5E">
        <w:rPr>
          <w:rFonts w:ascii="Times New Roman" w:hAnsi="Times New Roman" w:cs="Times New Roman"/>
          <w:sz w:val="18"/>
          <w:szCs w:val="18"/>
          <w:vertAlign w:val="superscript"/>
        </w:rPr>
        <w:t>1</w:t>
      </w:r>
      <w:r w:rsidRPr="00830F5E">
        <w:rPr>
          <w:rFonts w:ascii="Times New Roman" w:hAnsi="Times New Roman" w:cs="Times New Roman"/>
          <w:sz w:val="18"/>
          <w:szCs w:val="18"/>
        </w:rPr>
        <w:t>, Kratunova EH</w:t>
      </w:r>
      <w:r w:rsidRPr="00830F5E">
        <w:rPr>
          <w:rFonts w:ascii="Times New Roman" w:hAnsi="Times New Roman" w:cs="Times New Roman"/>
          <w:sz w:val="18"/>
          <w:szCs w:val="18"/>
          <w:vertAlign w:val="superscript"/>
        </w:rPr>
        <w:t>2</w:t>
      </w:r>
      <w:r w:rsidRPr="00830F5E">
        <w:rPr>
          <w:rFonts w:ascii="Times New Roman" w:hAnsi="Times New Roman" w:cs="Times New Roman"/>
          <w:sz w:val="18"/>
          <w:szCs w:val="18"/>
        </w:rPr>
        <w:t>, Alapati S</w:t>
      </w:r>
      <w:r w:rsidRPr="00830F5E">
        <w:rPr>
          <w:rFonts w:ascii="Times New Roman" w:hAnsi="Times New Roman" w:cs="Times New Roman"/>
          <w:sz w:val="18"/>
          <w:szCs w:val="18"/>
          <w:vertAlign w:val="superscript"/>
        </w:rPr>
        <w:t>1</w:t>
      </w:r>
    </w:p>
    <w:p w:rsidR="0044797C" w:rsidRPr="00830F5E" w:rsidRDefault="0044797C" w:rsidP="0044797C">
      <w:pPr>
        <w:spacing w:after="0" w:line="276" w:lineRule="auto"/>
        <w:jc w:val="center"/>
        <w:rPr>
          <w:rFonts w:ascii="Times New Roman" w:hAnsi="Times New Roman" w:cs="Times New Roman"/>
          <w:i/>
          <w:sz w:val="18"/>
          <w:szCs w:val="18"/>
        </w:rPr>
      </w:pPr>
      <w:r w:rsidRPr="00830F5E">
        <w:rPr>
          <w:rFonts w:ascii="Times New Roman" w:hAnsi="Times New Roman" w:cs="Times New Roman"/>
          <w:i/>
          <w:sz w:val="18"/>
          <w:szCs w:val="18"/>
          <w:vertAlign w:val="superscript"/>
        </w:rPr>
        <w:t>1</w:t>
      </w:r>
      <w:r w:rsidRPr="00830F5E">
        <w:rPr>
          <w:rFonts w:ascii="Times New Roman" w:hAnsi="Times New Roman" w:cs="Times New Roman"/>
          <w:i/>
          <w:sz w:val="18"/>
          <w:szCs w:val="18"/>
        </w:rPr>
        <w:t xml:space="preserve">Dept. of Endodontics, UIC College of Dentistry, Chicago, IL, </w:t>
      </w:r>
      <w:r w:rsidRPr="00830F5E">
        <w:rPr>
          <w:rFonts w:ascii="Times New Roman" w:hAnsi="Times New Roman" w:cs="Times New Roman"/>
          <w:i/>
          <w:sz w:val="18"/>
          <w:szCs w:val="18"/>
          <w:vertAlign w:val="superscript"/>
        </w:rPr>
        <w:t>2</w:t>
      </w:r>
      <w:r w:rsidRPr="00830F5E">
        <w:rPr>
          <w:rFonts w:ascii="Times New Roman" w:hAnsi="Times New Roman" w:cs="Times New Roman"/>
          <w:i/>
          <w:sz w:val="18"/>
          <w:szCs w:val="18"/>
        </w:rPr>
        <w:t>Dept. of Pediatric Dentistry, UIC, College of Dentistry, Chicago, IL</w:t>
      </w:r>
    </w:p>
    <w:p w:rsidR="0044797C" w:rsidRDefault="0044797C" w:rsidP="0044797C">
      <w:pPr>
        <w:spacing w:after="0" w:line="276" w:lineRule="auto"/>
        <w:rPr>
          <w:rFonts w:ascii="Times New Roman" w:hAnsi="Times New Roman" w:cs="Times New Roman"/>
          <w:bCs/>
          <w:sz w:val="18"/>
          <w:szCs w:val="18"/>
        </w:rPr>
      </w:pPr>
      <w:r w:rsidRPr="00830F5E">
        <w:rPr>
          <w:rFonts w:ascii="Times New Roman" w:hAnsi="Times New Roman" w:cs="Times New Roman"/>
          <w:b/>
          <w:sz w:val="18"/>
          <w:szCs w:val="18"/>
        </w:rPr>
        <w:t>Objectives</w:t>
      </w:r>
      <w:r w:rsidRPr="00830F5E">
        <w:rPr>
          <w:rFonts w:ascii="Times New Roman" w:hAnsi="Times New Roman" w:cs="Times New Roman"/>
          <w:sz w:val="18"/>
          <w:szCs w:val="18"/>
        </w:rPr>
        <w:t>: Advanced biocompatible materials can yield improved outcomes</w:t>
      </w:r>
      <w:r w:rsidRPr="00830F5E" w:rsidDel="00782585">
        <w:rPr>
          <w:rFonts w:ascii="Times New Roman" w:hAnsi="Times New Roman" w:cs="Times New Roman"/>
          <w:sz w:val="18"/>
          <w:szCs w:val="18"/>
        </w:rPr>
        <w:t xml:space="preserve"> </w:t>
      </w:r>
      <w:r w:rsidRPr="00830F5E">
        <w:rPr>
          <w:rFonts w:ascii="Times New Roman" w:hAnsi="Times New Roman" w:cs="Times New Roman"/>
          <w:sz w:val="18"/>
          <w:szCs w:val="18"/>
        </w:rPr>
        <w:t xml:space="preserve">for pulp therapy of immature permanent teeth. These materials are shown to revitalize and preserve remaining pulpal and apical tissues to achieve root maturation. Formation of mineralized tissue barriers at the pulp-dentin interface facilitates regeneration and prevents leakage of tissue fluid and bacterial byproducts. </w:t>
      </w:r>
      <w:r w:rsidRPr="00830F5E">
        <w:rPr>
          <w:rFonts w:ascii="Times New Roman" w:hAnsi="Times New Roman" w:cs="Times New Roman"/>
          <w:b/>
          <w:sz w:val="18"/>
          <w:szCs w:val="18"/>
        </w:rPr>
        <w:t>Findings</w:t>
      </w:r>
      <w:r w:rsidRPr="00830F5E">
        <w:rPr>
          <w:rFonts w:ascii="Times New Roman" w:hAnsi="Times New Roman" w:cs="Times New Roman"/>
          <w:sz w:val="18"/>
          <w:szCs w:val="18"/>
        </w:rPr>
        <w:t xml:space="preserve">: An immature permanent tooth with pulpal necrosis and apical periodontitis presents a unique challenge to the clinician. The traditional treatment options of apexification with long-term calcium hydroxide or “one-step” apexification with bioactive materials such as Mineral Trioxide Aggregate (MTA) are giving way to regenerative endodontic procedures (REP) with two-visit REP protocol and long-term follow up for apical inflammation resolution and root maturation. The disinfection protocol and selection of bioactive materials, such as ProRoot MTA, EndoSequence Root Repair Material (ERRM) Putty, Biodentine and NeoMTA for REP are essential for long-term success. </w:t>
      </w:r>
      <w:r w:rsidRPr="00830F5E">
        <w:rPr>
          <w:rFonts w:ascii="Times New Roman" w:hAnsi="Times New Roman" w:cs="Times New Roman"/>
          <w:b/>
          <w:sz w:val="18"/>
          <w:szCs w:val="18"/>
        </w:rPr>
        <w:t>Significance for Practice</w:t>
      </w:r>
      <w:r w:rsidRPr="00830F5E">
        <w:rPr>
          <w:rFonts w:ascii="Times New Roman" w:hAnsi="Times New Roman" w:cs="Times New Roman"/>
          <w:sz w:val="18"/>
          <w:szCs w:val="18"/>
        </w:rPr>
        <w:t xml:space="preserve">: </w:t>
      </w:r>
      <w:r w:rsidRPr="00830F5E">
        <w:rPr>
          <w:rFonts w:ascii="Times New Roman" w:hAnsi="Times New Roman" w:cs="Times New Roman"/>
          <w:bCs/>
          <w:sz w:val="18"/>
          <w:szCs w:val="18"/>
        </w:rPr>
        <w:t>The purpose of this case report is to inform clinicians and increase awareness regarding a new generation of biomaterials, their setting reactions and provide an update on a treatment modality for managing necrotic, permanent teeth with incomplete root formation.</w:t>
      </w:r>
    </w:p>
    <w:p w:rsidR="00C13CAD" w:rsidRDefault="00C13CAD" w:rsidP="0044797C">
      <w:pPr>
        <w:spacing w:after="0" w:line="276" w:lineRule="auto"/>
        <w:rPr>
          <w:rFonts w:ascii="Times New Roman" w:hAnsi="Times New Roman" w:cs="Times New Roman"/>
          <w:bCs/>
        </w:rPr>
      </w:pPr>
    </w:p>
    <w:p w:rsidR="00C13CAD" w:rsidRDefault="00C13CAD" w:rsidP="0044797C">
      <w:pPr>
        <w:spacing w:after="0" w:line="276" w:lineRule="auto"/>
        <w:rPr>
          <w:rFonts w:ascii="Times New Roman" w:hAnsi="Times New Roman" w:cs="Times New Roman"/>
          <w:bCs/>
        </w:rPr>
      </w:pPr>
      <w:r>
        <w:rPr>
          <w:rFonts w:ascii="Times New Roman" w:hAnsi="Times New Roman" w:cs="Times New Roman"/>
          <w:bCs/>
        </w:rPr>
        <w:t>Example in the template next page</w:t>
      </w:r>
    </w:p>
    <w:p w:rsidR="00C13CAD" w:rsidRDefault="00C13CAD" w:rsidP="0044797C">
      <w:pPr>
        <w:spacing w:after="0" w:line="276" w:lineRule="auto"/>
        <w:rPr>
          <w:rFonts w:ascii="Times New Roman" w:hAnsi="Times New Roman" w:cs="Times New Roman"/>
          <w:bCs/>
        </w:rPr>
      </w:pPr>
    </w:p>
    <w:p w:rsidR="00C13CAD" w:rsidRPr="00C13CAD" w:rsidRDefault="00C13CAD" w:rsidP="0044797C">
      <w:pPr>
        <w:spacing w:after="0" w:line="276" w:lineRule="auto"/>
        <w:rPr>
          <w:rFonts w:ascii="Times New Roman" w:hAnsi="Times New Roman" w:cs="Times New Roman"/>
          <w:bCs/>
        </w:rPr>
      </w:pPr>
      <w:r w:rsidRPr="00C13CAD">
        <w:rPr>
          <w:rFonts w:ascii="Times New Roman" w:hAnsi="Times New Roman" w:cs="Times New Roman"/>
          <w:bCs/>
        </w:rPr>
        <w:t>Case Report Example from a 2019 Winner in the 2020 Template</w:t>
      </w:r>
    </w:p>
    <w:tbl>
      <w:tblPr>
        <w:tblStyle w:val="TableGrid"/>
        <w:tblW w:w="0" w:type="auto"/>
        <w:tblLook w:val="04A0" w:firstRow="1" w:lastRow="0" w:firstColumn="1" w:lastColumn="0" w:noHBand="0" w:noVBand="1"/>
      </w:tblPr>
      <w:tblGrid>
        <w:gridCol w:w="2875"/>
        <w:gridCol w:w="6475"/>
      </w:tblGrid>
      <w:tr w:rsidR="00C13CAD" w:rsidRPr="00C13CAD" w:rsidTr="00A71353">
        <w:tc>
          <w:tcPr>
            <w:tcW w:w="2875" w:type="dxa"/>
          </w:tcPr>
          <w:p w:rsidR="00C13CAD" w:rsidRPr="00C13CAD" w:rsidRDefault="00C13CAD" w:rsidP="00A71353">
            <w:r w:rsidRPr="00C13CAD">
              <w:t>TITLE</w:t>
            </w:r>
          </w:p>
          <w:p w:rsidR="00C13CAD" w:rsidRPr="00C13CAD" w:rsidRDefault="00C13CAD" w:rsidP="00A71353">
            <w:r w:rsidRPr="00C13CAD">
              <w:t>ALL CAPS; 10 words or less</w:t>
            </w:r>
          </w:p>
        </w:tc>
        <w:tc>
          <w:tcPr>
            <w:tcW w:w="6475" w:type="dxa"/>
          </w:tcPr>
          <w:p w:rsidR="00C13CAD" w:rsidRPr="00C13CAD" w:rsidRDefault="00C13CAD" w:rsidP="00A71353">
            <w:r w:rsidRPr="00C13CAD">
              <w:t>BIOACTIVE THERAPEUTIC MATERIALS FOR IMMATURE TEETH: A CASE REPORT</w:t>
            </w:r>
          </w:p>
        </w:tc>
      </w:tr>
      <w:tr w:rsidR="00C13CAD" w:rsidRPr="00C13CAD" w:rsidTr="00A71353">
        <w:tc>
          <w:tcPr>
            <w:tcW w:w="2875" w:type="dxa"/>
          </w:tcPr>
          <w:p w:rsidR="00C13CAD" w:rsidRPr="00C13CAD" w:rsidRDefault="00C13CAD" w:rsidP="00A71353">
            <w:r w:rsidRPr="00C13CAD">
              <w:t>Authors</w:t>
            </w:r>
          </w:p>
          <w:p w:rsidR="00C13CAD" w:rsidRPr="00C13CAD" w:rsidRDefault="00C13CAD" w:rsidP="000E1E62">
            <w:r w:rsidRPr="00C13CAD">
              <w:t>LastName FirstInitialMiddleInitial (no period) with comma separator between authors: With Presenter First and Mentor Last</w:t>
            </w:r>
            <w:r w:rsidR="000E1E62">
              <w:t xml:space="preserve"> &amp; </w:t>
            </w:r>
            <w:r w:rsidRPr="00C13CAD">
              <w:t>Use superscript # after each author if multiple units are represented</w:t>
            </w:r>
          </w:p>
        </w:tc>
        <w:tc>
          <w:tcPr>
            <w:tcW w:w="6475" w:type="dxa"/>
          </w:tcPr>
          <w:p w:rsidR="00C13CAD" w:rsidRPr="00525FA3" w:rsidRDefault="00C13CAD" w:rsidP="00C13CAD">
            <w:pPr>
              <w:spacing w:line="276" w:lineRule="auto"/>
              <w:rPr>
                <w:rFonts w:ascii="Times New Roman" w:hAnsi="Times New Roman" w:cs="Times New Roman"/>
              </w:rPr>
            </w:pPr>
            <w:r w:rsidRPr="00C13CAD">
              <w:rPr>
                <w:rFonts w:ascii="Times New Roman" w:hAnsi="Times New Roman" w:cs="Times New Roman"/>
              </w:rPr>
              <w:t>Bollow SE</w:t>
            </w:r>
            <w:r w:rsidRPr="00C13CAD">
              <w:rPr>
                <w:rFonts w:ascii="Times New Roman" w:hAnsi="Times New Roman" w:cs="Times New Roman"/>
                <w:vertAlign w:val="superscript"/>
              </w:rPr>
              <w:t>1</w:t>
            </w:r>
            <w:r w:rsidRPr="00C13CAD">
              <w:rPr>
                <w:rFonts w:ascii="Times New Roman" w:hAnsi="Times New Roman" w:cs="Times New Roman"/>
              </w:rPr>
              <w:t>, Golubovich MM</w:t>
            </w:r>
            <w:r w:rsidRPr="00C13CAD">
              <w:rPr>
                <w:rFonts w:ascii="Times New Roman" w:hAnsi="Times New Roman" w:cs="Times New Roman"/>
                <w:vertAlign w:val="superscript"/>
              </w:rPr>
              <w:t>1</w:t>
            </w:r>
            <w:r w:rsidRPr="00C13CAD">
              <w:rPr>
                <w:rFonts w:ascii="Times New Roman" w:hAnsi="Times New Roman" w:cs="Times New Roman"/>
              </w:rPr>
              <w:t>, Kratunova EH</w:t>
            </w:r>
            <w:r w:rsidRPr="00C13CAD">
              <w:rPr>
                <w:rFonts w:ascii="Times New Roman" w:hAnsi="Times New Roman" w:cs="Times New Roman"/>
                <w:vertAlign w:val="superscript"/>
              </w:rPr>
              <w:t>2</w:t>
            </w:r>
            <w:r w:rsidRPr="00C13CAD">
              <w:rPr>
                <w:rFonts w:ascii="Times New Roman" w:hAnsi="Times New Roman" w:cs="Times New Roman"/>
              </w:rPr>
              <w:t>, A</w:t>
            </w:r>
            <w:bookmarkStart w:id="0" w:name="_GoBack"/>
            <w:bookmarkEnd w:id="0"/>
            <w:r w:rsidRPr="00C13CAD">
              <w:rPr>
                <w:rFonts w:ascii="Times New Roman" w:hAnsi="Times New Roman" w:cs="Times New Roman"/>
              </w:rPr>
              <w:t>lapati S</w:t>
            </w:r>
            <w:r w:rsidRPr="00C13CAD">
              <w:rPr>
                <w:rFonts w:ascii="Times New Roman" w:hAnsi="Times New Roman" w:cs="Times New Roman"/>
                <w:vertAlign w:val="superscript"/>
              </w:rPr>
              <w:t>1</w:t>
            </w:r>
          </w:p>
        </w:tc>
      </w:tr>
      <w:tr w:rsidR="00C13CAD" w:rsidRPr="00C13CAD" w:rsidTr="00A71353">
        <w:tc>
          <w:tcPr>
            <w:tcW w:w="2875" w:type="dxa"/>
          </w:tcPr>
          <w:p w:rsidR="00C13CAD" w:rsidRPr="00C13CAD" w:rsidRDefault="00C13CAD" w:rsidP="00A71353">
            <w:r w:rsidRPr="00C13CAD">
              <w:t>Affiliation(s)</w:t>
            </w:r>
          </w:p>
          <w:p w:rsidR="00C13CAD" w:rsidRPr="00C13CAD" w:rsidRDefault="00C13CAD" w:rsidP="00A71353">
            <w:r w:rsidRPr="00C13CAD">
              <w:t>List Department and College Affiliations for ALL authors; insert superscript # before each unit if more than one unit is listed</w:t>
            </w:r>
          </w:p>
        </w:tc>
        <w:tc>
          <w:tcPr>
            <w:tcW w:w="6475" w:type="dxa"/>
          </w:tcPr>
          <w:p w:rsidR="00C13CAD" w:rsidRPr="00C13CAD" w:rsidRDefault="00C13CAD" w:rsidP="00C13CAD">
            <w:pPr>
              <w:spacing w:line="276" w:lineRule="auto"/>
              <w:rPr>
                <w:rFonts w:ascii="Times New Roman" w:hAnsi="Times New Roman" w:cs="Times New Roman"/>
              </w:rPr>
            </w:pPr>
            <w:r w:rsidRPr="00C13CAD">
              <w:rPr>
                <w:rFonts w:ascii="Times New Roman" w:hAnsi="Times New Roman" w:cs="Times New Roman"/>
                <w:vertAlign w:val="superscript"/>
              </w:rPr>
              <w:t>1</w:t>
            </w:r>
            <w:r w:rsidRPr="00C13CAD">
              <w:rPr>
                <w:rFonts w:ascii="Times New Roman" w:hAnsi="Times New Roman" w:cs="Times New Roman"/>
              </w:rPr>
              <w:t xml:space="preserve">Dept. of Endodontics, UIC College of Dentistry, Chicago, IL, </w:t>
            </w:r>
            <w:r w:rsidRPr="00C13CAD">
              <w:rPr>
                <w:rFonts w:ascii="Times New Roman" w:hAnsi="Times New Roman" w:cs="Times New Roman"/>
                <w:vertAlign w:val="superscript"/>
              </w:rPr>
              <w:t>2</w:t>
            </w:r>
            <w:r w:rsidRPr="00C13CAD">
              <w:rPr>
                <w:rFonts w:ascii="Times New Roman" w:hAnsi="Times New Roman" w:cs="Times New Roman"/>
              </w:rPr>
              <w:t>Dept. of Pediatric Dentistry, UIC, College of Dentistry, Chicago, IL</w:t>
            </w:r>
          </w:p>
          <w:p w:rsidR="00C13CAD" w:rsidRPr="00C13CAD" w:rsidRDefault="00C13CAD" w:rsidP="00A71353"/>
        </w:tc>
      </w:tr>
      <w:tr w:rsidR="00C13CAD" w:rsidRPr="00C13CAD" w:rsidTr="00A71353">
        <w:tc>
          <w:tcPr>
            <w:tcW w:w="2875" w:type="dxa"/>
          </w:tcPr>
          <w:p w:rsidR="00C13CAD" w:rsidRPr="00C13CAD" w:rsidRDefault="00C13CAD" w:rsidP="00A71353">
            <w:r w:rsidRPr="00C13CAD">
              <w:t>Abstract:</w:t>
            </w:r>
          </w:p>
          <w:p w:rsidR="00C13CAD" w:rsidRPr="00C13CAD" w:rsidRDefault="00C13CAD" w:rsidP="00A71353">
            <w:r w:rsidRPr="00C13CAD">
              <w:t>No more than 300 words including section titles</w:t>
            </w:r>
          </w:p>
          <w:p w:rsidR="00C13CAD" w:rsidRPr="00C13CAD" w:rsidRDefault="00C13CAD" w:rsidP="00A71353">
            <w:r w:rsidRPr="00C13CAD">
              <w:t>Use Headings as listed</w:t>
            </w:r>
          </w:p>
          <w:p w:rsidR="00C13CAD" w:rsidRPr="00C13CAD" w:rsidRDefault="00C13CAD" w:rsidP="00A71353"/>
          <w:p w:rsidR="00C13CAD" w:rsidRPr="00C13CAD" w:rsidRDefault="00C13CAD" w:rsidP="00A71353"/>
          <w:p w:rsidR="00C13CAD" w:rsidRPr="00C13CAD" w:rsidRDefault="00C13CAD" w:rsidP="00A71353"/>
          <w:p w:rsidR="00C13CAD" w:rsidRPr="00C13CAD" w:rsidRDefault="00C13CAD" w:rsidP="00A71353"/>
          <w:p w:rsidR="00C13CAD" w:rsidRPr="00C13CAD" w:rsidRDefault="00C13CAD" w:rsidP="00A71353"/>
        </w:tc>
        <w:tc>
          <w:tcPr>
            <w:tcW w:w="6475" w:type="dxa"/>
          </w:tcPr>
          <w:p w:rsidR="00C13CAD" w:rsidRPr="00C13CAD" w:rsidRDefault="00C13CAD" w:rsidP="00C13CAD">
            <w:pPr>
              <w:spacing w:line="276" w:lineRule="auto"/>
              <w:rPr>
                <w:rFonts w:ascii="Times New Roman" w:hAnsi="Times New Roman" w:cs="Times New Roman"/>
                <w:bCs/>
              </w:rPr>
            </w:pPr>
            <w:r w:rsidRPr="00C13CAD">
              <w:rPr>
                <w:rFonts w:ascii="Times New Roman" w:hAnsi="Times New Roman" w:cs="Times New Roman"/>
                <w:b/>
              </w:rPr>
              <w:t>Objectives</w:t>
            </w:r>
            <w:r w:rsidRPr="00C13CAD">
              <w:rPr>
                <w:rFonts w:ascii="Times New Roman" w:hAnsi="Times New Roman" w:cs="Times New Roman"/>
              </w:rPr>
              <w:t>: Advanced biocompatible materials can yield improved outcomes</w:t>
            </w:r>
            <w:r w:rsidRPr="00C13CAD" w:rsidDel="00782585">
              <w:rPr>
                <w:rFonts w:ascii="Times New Roman" w:hAnsi="Times New Roman" w:cs="Times New Roman"/>
              </w:rPr>
              <w:t xml:space="preserve"> </w:t>
            </w:r>
            <w:r w:rsidRPr="00C13CAD">
              <w:rPr>
                <w:rFonts w:ascii="Times New Roman" w:hAnsi="Times New Roman" w:cs="Times New Roman"/>
              </w:rPr>
              <w:t xml:space="preserve">for pulp therapy of immature permanent teeth. These materials are shown to revitalize and preserve remaining pulpal and apical tissues to achieve root maturation. Formation of mineralized tissue barriers at the pulp-dentin interface facilitates regeneration and prevents leakage of tissue fluid and bacterial byproducts. </w:t>
            </w:r>
            <w:r w:rsidRPr="00C13CAD">
              <w:rPr>
                <w:rFonts w:ascii="Times New Roman" w:hAnsi="Times New Roman" w:cs="Times New Roman"/>
                <w:b/>
              </w:rPr>
              <w:t>Findings</w:t>
            </w:r>
            <w:r w:rsidRPr="00C13CAD">
              <w:rPr>
                <w:rFonts w:ascii="Times New Roman" w:hAnsi="Times New Roman" w:cs="Times New Roman"/>
              </w:rPr>
              <w:t xml:space="preserve">: An immature permanent tooth with pulpal necrosis and apical periodontitis presents a unique challenge to the clinician. The traditional treatment options of apexification with long-term calcium hydroxide or “one-step” apexification with bioactive materials such as Mineral Trioxide Aggregate (MTA) are giving way to regenerative endodontic procedures (REP) with two-visit REP protocol and long-term follow up for apical inflammation resolution and root maturation. The disinfection protocol and selection of bioactive materials, such as ProRoot MTA, EndoSequence Root Repair Material (ERRM) Putty, Biodentine and NeoMTA for REP are essential for long-term success. </w:t>
            </w:r>
            <w:r w:rsidRPr="00C13CAD">
              <w:rPr>
                <w:rFonts w:ascii="Times New Roman" w:hAnsi="Times New Roman" w:cs="Times New Roman"/>
                <w:b/>
              </w:rPr>
              <w:t>Significance for Practice</w:t>
            </w:r>
            <w:r w:rsidRPr="00C13CAD">
              <w:rPr>
                <w:rFonts w:ascii="Times New Roman" w:hAnsi="Times New Roman" w:cs="Times New Roman"/>
              </w:rPr>
              <w:t xml:space="preserve">: </w:t>
            </w:r>
            <w:r w:rsidRPr="00C13CAD">
              <w:rPr>
                <w:rFonts w:ascii="Times New Roman" w:hAnsi="Times New Roman" w:cs="Times New Roman"/>
                <w:bCs/>
              </w:rPr>
              <w:t>The purpose of this case report is to inform clinicians and increase awareness regarding a new generation of biomaterials, their setting reactions and provide an update on a treatment modality for managing necrotic, permanent teeth with incomplete root formation.</w:t>
            </w:r>
          </w:p>
        </w:tc>
      </w:tr>
    </w:tbl>
    <w:p w:rsidR="0044797C" w:rsidRPr="00C13CAD" w:rsidRDefault="0044797C"/>
    <w:sectPr w:rsidR="0044797C" w:rsidRPr="00C13C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62" w:rsidRDefault="000E1E62" w:rsidP="000E1E62">
      <w:pPr>
        <w:spacing w:after="0" w:line="240" w:lineRule="auto"/>
      </w:pPr>
      <w:r>
        <w:separator/>
      </w:r>
    </w:p>
  </w:endnote>
  <w:endnote w:type="continuationSeparator" w:id="0">
    <w:p w:rsidR="000E1E62" w:rsidRDefault="000E1E62" w:rsidP="000E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62" w:rsidRPr="000E1E62" w:rsidRDefault="000E1E62">
    <w:pPr>
      <w:pStyle w:val="Footer"/>
      <w:rPr>
        <w:sz w:val="18"/>
        <w:szCs w:val="18"/>
      </w:rPr>
    </w:pPr>
    <w:r w:rsidRPr="000E1E62">
      <w:rPr>
        <w:sz w:val="18"/>
        <w:szCs w:val="18"/>
      </w:rPr>
      <w:t>Abstract template with example 2020 case report 11</w:t>
    </w:r>
    <w:r>
      <w:rPr>
        <w:sz w:val="18"/>
        <w:szCs w:val="18"/>
      </w:rPr>
      <w:t>2</w:t>
    </w:r>
    <w:r w:rsidRPr="000E1E62">
      <w:rPr>
        <w:sz w:val="18"/>
        <w:szCs w:val="18"/>
      </w:rPr>
      <w:t>119</w:t>
    </w:r>
    <w:r w:rsidRPr="000E1E62">
      <w:rPr>
        <w:sz w:val="18"/>
        <w:szCs w:val="18"/>
      </w:rPr>
      <w:ptab w:relativeTo="margin" w:alignment="right" w:leader="none"/>
    </w:r>
    <w:r w:rsidRPr="000E1E62">
      <w:rPr>
        <w:sz w:val="18"/>
        <w:szCs w:val="18"/>
      </w:rPr>
      <w:t xml:space="preserve">Page </w:t>
    </w:r>
    <w:r w:rsidRPr="000E1E62">
      <w:rPr>
        <w:b/>
        <w:bCs/>
        <w:sz w:val="18"/>
        <w:szCs w:val="18"/>
      </w:rPr>
      <w:fldChar w:fldCharType="begin"/>
    </w:r>
    <w:r w:rsidRPr="000E1E62">
      <w:rPr>
        <w:b/>
        <w:bCs/>
        <w:sz w:val="18"/>
        <w:szCs w:val="18"/>
      </w:rPr>
      <w:instrText xml:space="preserve"> PAGE  \* Arabic  \* MERGEFORMAT </w:instrText>
    </w:r>
    <w:r w:rsidRPr="000E1E62">
      <w:rPr>
        <w:b/>
        <w:bCs/>
        <w:sz w:val="18"/>
        <w:szCs w:val="18"/>
      </w:rPr>
      <w:fldChar w:fldCharType="separate"/>
    </w:r>
    <w:r w:rsidR="001D716A">
      <w:rPr>
        <w:b/>
        <w:bCs/>
        <w:noProof/>
        <w:sz w:val="18"/>
        <w:szCs w:val="18"/>
      </w:rPr>
      <w:t>2</w:t>
    </w:r>
    <w:r w:rsidRPr="000E1E62">
      <w:rPr>
        <w:b/>
        <w:bCs/>
        <w:sz w:val="18"/>
        <w:szCs w:val="18"/>
      </w:rPr>
      <w:fldChar w:fldCharType="end"/>
    </w:r>
    <w:r w:rsidRPr="000E1E62">
      <w:rPr>
        <w:sz w:val="18"/>
        <w:szCs w:val="18"/>
      </w:rPr>
      <w:t xml:space="preserve"> of </w:t>
    </w:r>
    <w:r w:rsidRPr="000E1E62">
      <w:rPr>
        <w:b/>
        <w:bCs/>
        <w:sz w:val="18"/>
        <w:szCs w:val="18"/>
      </w:rPr>
      <w:fldChar w:fldCharType="begin"/>
    </w:r>
    <w:r w:rsidRPr="000E1E62">
      <w:rPr>
        <w:b/>
        <w:bCs/>
        <w:sz w:val="18"/>
        <w:szCs w:val="18"/>
      </w:rPr>
      <w:instrText xml:space="preserve"> NUMPAGES  \* Arabic  \* MERGEFORMAT </w:instrText>
    </w:r>
    <w:r w:rsidRPr="000E1E62">
      <w:rPr>
        <w:b/>
        <w:bCs/>
        <w:sz w:val="18"/>
        <w:szCs w:val="18"/>
      </w:rPr>
      <w:fldChar w:fldCharType="separate"/>
    </w:r>
    <w:r w:rsidR="001D716A">
      <w:rPr>
        <w:b/>
        <w:bCs/>
        <w:noProof/>
        <w:sz w:val="18"/>
        <w:szCs w:val="18"/>
      </w:rPr>
      <w:t>2</w:t>
    </w:r>
    <w:r w:rsidRPr="000E1E62">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62" w:rsidRDefault="000E1E62" w:rsidP="000E1E62">
      <w:pPr>
        <w:spacing w:after="0" w:line="240" w:lineRule="auto"/>
      </w:pPr>
      <w:r>
        <w:separator/>
      </w:r>
    </w:p>
  </w:footnote>
  <w:footnote w:type="continuationSeparator" w:id="0">
    <w:p w:rsidR="000E1E62" w:rsidRDefault="000E1E62" w:rsidP="000E1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98"/>
    <w:rsid w:val="000E1E62"/>
    <w:rsid w:val="00105058"/>
    <w:rsid w:val="001D716A"/>
    <w:rsid w:val="0044797C"/>
    <w:rsid w:val="00525FA3"/>
    <w:rsid w:val="00642EA1"/>
    <w:rsid w:val="00956753"/>
    <w:rsid w:val="00A16546"/>
    <w:rsid w:val="00A8401F"/>
    <w:rsid w:val="00C13CAD"/>
    <w:rsid w:val="00F347E4"/>
    <w:rsid w:val="00F47098"/>
    <w:rsid w:val="00F8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662B"/>
  <w15:chartTrackingRefBased/>
  <w15:docId w15:val="{007E3D0D-50CA-45F6-9244-0BF284D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62"/>
  </w:style>
  <w:style w:type="paragraph" w:styleId="Footer">
    <w:name w:val="footer"/>
    <w:basedOn w:val="Normal"/>
    <w:link w:val="FooterChar"/>
    <w:uiPriority w:val="99"/>
    <w:unhideWhenUsed/>
    <w:rsid w:val="000E1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62"/>
  </w:style>
  <w:style w:type="paragraph" w:styleId="BalloonText">
    <w:name w:val="Balloon Text"/>
    <w:basedOn w:val="Normal"/>
    <w:link w:val="BalloonTextChar"/>
    <w:uiPriority w:val="99"/>
    <w:semiHidden/>
    <w:unhideWhenUsed/>
    <w:rsid w:val="000E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B381-3748-488F-8EEA-B93E6432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UIC College of Dentistry</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 Linda</dc:creator>
  <cp:keywords/>
  <dc:description/>
  <cp:lastModifiedBy>Kaste, Linda</cp:lastModifiedBy>
  <cp:revision>2</cp:revision>
  <cp:lastPrinted>2019-11-21T19:14:00Z</cp:lastPrinted>
  <dcterms:created xsi:type="dcterms:W3CDTF">2019-11-21T19:24:00Z</dcterms:created>
  <dcterms:modified xsi:type="dcterms:W3CDTF">2019-11-21T19:24:00Z</dcterms:modified>
</cp:coreProperties>
</file>